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André Legrand</w:t>
      </w:r>
    </w:p>
    <w:p>
      <w:pPr>
        <w:spacing w:line="240" w:lineRule="auto" w:before="0" w:after="0"/>
        <w:jc w:val="right"/>
      </w:pPr>
      <w:r>
        <w:t>SELARL LEGRAND et ANTONIOTTI</w:t>
      </w:r>
    </w:p>
    <w:p>
      <w:pPr>
        <w:spacing w:line="240" w:lineRule="auto" w:before="0" w:after="0"/>
        <w:jc w:val="right"/>
      </w:pPr>
      <w:r>
        <w:t>Domaine de l'Ile Rousse bât B</w:t>
      </w:r>
    </w:p>
    <w:p>
      <w:pPr>
        <w:spacing w:line="240" w:lineRule="auto" w:before="0" w:after="0"/>
        <w:jc w:val="right"/>
      </w:pPr>
      <w:r>
        <w:t>20220 L ILE ROUSSE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Legrand,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SELARL LEGRAND et ANTONIOTTI se distingue par une structure à taille humaine, permettant une approche de proximité et une maîtrise rigoureuse du cœur de métier. Installé depuis 2004, le cabinet bénéficie d'une solide expérience qui garantit une expertise reconnue et une connaissance approfondie du territoire. Cette dimension de proximité, conjuguée à une organisation stable et établie, offre un environnement propice à une transmission de savoir-faire de qualité et à un suivi attentif des dossiers complexes, de la conception à la réalisation.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contribution précise aux diagnostics et aux relevés.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