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Thierry Breton</w:t>
      </w:r>
    </w:p>
    <w:p>
      <w:pPr>
        <w:spacing w:line="240" w:lineRule="auto" w:before="0" w:after="0"/>
        <w:jc w:val="right"/>
      </w:pPr>
      <w:r>
        <w:t>Cabinet PIECHOWSKI LEBLANC BRETON</w:t>
      </w:r>
    </w:p>
    <w:p>
      <w:pPr>
        <w:spacing w:line="240" w:lineRule="auto" w:before="0" w:after="0"/>
        <w:jc w:val="right"/>
      </w:pPr>
      <w:r>
        <w:t>42 bis rue de la Paix</w:t>
      </w:r>
    </w:p>
    <w:p>
      <w:pPr>
        <w:spacing w:line="240" w:lineRule="auto" w:before="0" w:after="0"/>
        <w:jc w:val="right"/>
      </w:pPr>
      <w:r>
        <w:t>10000 TROYES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sur plusieurs territoires, de Troyes à Nogent-sur-Seine en passant par Châlons-en-Champagne, offrant une diversité de contextes urbains et ruraux. Cette implantation multisites témoigne d'une expertise de proximité et d'une capacité à répondre à des enjeux fonciers variés. Par ailleurs, votre démarche de modernisation numérique et votre souci de transparence vis-à-vis des clients soulignent une volonté d'évolution et une recherche de qualité, garantissant une gestion rigoureuse et sécurisée des données sensibles.</w:t>
      </w:r>
    </w:p>
    <w:p>
      <w:pPr>
        <w:spacing w:line="276" w:lineRule="auto" w:before="0" w:after="160"/>
        <w:jc w:val="both"/>
      </w:pPr>
      <w:r>
        <w:t>Mon parcours m'a doté d'une forte culture de la donnée spatiale (topographie, modélisation) et d'une solide capacité d'analyse et de synthèse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Breton,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