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GUICHARD et Associés</w:t>
      </w:r>
    </w:p>
    <w:p>
      <w:pPr>
        <w:spacing w:line="240" w:lineRule="auto" w:before="0" w:after="0"/>
        <w:jc w:val="right"/>
      </w:pPr>
      <w:r>
        <w:t>53 bd du 14 juillet, 10000 TROYES</w:t>
      </w:r>
    </w:p>
    <w:p>
      <w:pPr>
        <w:spacing w:line="240" w:lineRule="auto" w:before="0" w:after="0"/>
        <w:jc w:val="right"/>
      </w:pPr>
      <w:r>
        <w:t>À l’attention de Monsieur Samuel Guichard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Guichard,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cabinet de Monsieur Pascal Vailles à Muret,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solide dans le Grand Est, avec une présence répartie sur six agences couvrant des zones géographiques variées. Cette polyvalence, alliée à une offre de prestations complète — allant du bornage à la maîtrise d'œuvre en passant par l'expertise foncière — témoigne d'une capacité à accompagner vos clients sur l'ensemble de la chaîne de valeur. Votre approche, centrée sur la sécurité et la sérénité des acteurs du territoire, ainsi que votre engagement à offrir des solutions techniques précises pour prévenir les aléas juridiques, reflètent une vision exigeante et responsable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Guichard,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