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la SARL Cabinet WIENERT</w:t>
      </w:r>
    </w:p>
    <w:p>
      <w:pPr>
        <w:spacing w:line="240" w:lineRule="auto" w:before="0" w:after="0"/>
        <w:jc w:val="right"/>
      </w:pPr>
      <w:r>
        <w:t>7 rue du Capitaine Faucon</w:t>
      </w:r>
    </w:p>
    <w:p>
      <w:pPr>
        <w:spacing w:line="240" w:lineRule="auto" w:before="0" w:after="0"/>
        <w:jc w:val="right"/>
      </w:pPr>
      <w:r>
        <w:t>51121 SEZANNE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Cabinet WIENERT se distingue par une approche ancrée dans la maîtrise du cœur de métier et une proximité avec ses clients. Cette expertise solide permet d'assurer un accompagnement fiable et précis, garantissant la sécurité foncière des projets sur votre territoire. Votre cabinet incarne une pratique de la profession où la qualité du conseil technique, la connaissance fine du terrain et la rigueur de l'exécution sont primordiales pour répondre aux attentes des usagers.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