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Raphael Vincent Longechamp</w:t>
      </w:r>
    </w:p>
    <w:p>
      <w:pPr>
        <w:spacing w:line="240" w:lineRule="auto" w:before="0" w:after="0"/>
        <w:jc w:val="right"/>
      </w:pPr>
      <w:r>
        <w:t>Cabinet CARDINAL LONGECHAMP</w:t>
      </w:r>
    </w:p>
    <w:p>
      <w:pPr>
        <w:spacing w:line="240" w:lineRule="auto" w:before="0" w:after="0"/>
        <w:jc w:val="right"/>
      </w:pPr>
      <w:r>
        <w:t>17 bd de Lattre de Tassigny</w:t>
      </w:r>
    </w:p>
    <w:p>
      <w:pPr>
        <w:spacing w:line="240" w:lineRule="auto" w:before="0" w:after="0"/>
        <w:jc w:val="right"/>
      </w:pPr>
      <w:r>
        <w:t>52200 LANGRES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Longechamp,</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pour mon stage professionnel de deux ans. À l’issue d’un stage d’observation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w:t>
      </w:r>
    </w:p>
    <w:p>
      <w:pPr>
        <w:spacing w:line="276" w:lineRule="auto" w:before="0" w:after="160"/>
        <w:jc w:val="both"/>
      </w:pPr>
      <w:r>
        <w:t>Le cabinet CARDINAL LONGECHAMP se distingue par son ancrage territorial solide et sa présence sur plusieurs sites à Langres, Chaumont et Bourbonne-les-Bains. Cette implantation multi-sites témoigne d'une diversité de missions et d'une capacité à intervenir sur des contextes variés. Votre structure offre ainsi un cadre d'exercice riche, permettant d'appréhender des problématiques foncières variées. Cette polyvalence géographique est pour moi un environnement idéal pour parfaire ma compréhension des enjeux territoriaux.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appuyée par une sensibilité aux outils SIG et au scanner 3D,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Longechamp,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