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Manuel Da Costa</w:t>
      </w:r>
    </w:p>
    <w:p>
      <w:pPr>
        <w:spacing w:line="240" w:lineRule="auto" w:before="0" w:after="0"/>
        <w:jc w:val="right"/>
      </w:pPr>
      <w:r>
        <w:t>GEODATIS SELARL de GEOMETRES-EXPERTS</w:t>
      </w:r>
    </w:p>
    <w:p>
      <w:pPr>
        <w:spacing w:line="240" w:lineRule="auto" w:before="0" w:after="0"/>
        <w:jc w:val="right"/>
      </w:pPr>
      <w:r>
        <w:t>5 rue Isabey</w:t>
      </w:r>
    </w:p>
    <w:p>
      <w:pPr>
        <w:spacing w:line="240" w:lineRule="auto" w:before="0" w:after="0"/>
        <w:jc w:val="right"/>
      </w:pPr>
      <w:r>
        <w:t>54000 NANCY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 Costa,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y développer mes compétences.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parcellaire ou d’aménagement durable.</w:t>
      </w:r>
    </w:p>
    <w:p>
      <w:pPr>
        <w:spacing w:line="276" w:lineRule="auto" w:before="0" w:after="160"/>
        <w:jc w:val="both"/>
      </w:pPr>
      <w:r>
        <w:t>Votre cabinet se distingue par une solide pérennité, s'appuyant sur plus de 70 années d'existence et un riche patrimoine d'archives. Cette culture de la transmission du savoir, alliée à une approche scientifique de la mesure, témoigne d'une exigence de qualité constante et d'un professionnalisme éprouvé. Votre présence sur plusieurs agences et votre capacité à fédérer des acteurs publics et privés pour façonner l'aménagement du territoire illustrent une expertise juridique pointue et un engagement fort envers la sécurisation du foncier.</w:t>
      </w:r>
    </w:p>
    <w:p>
      <w:pPr>
        <w:spacing w:line="276" w:lineRule="auto" w:before="0" w:after="160"/>
        <w:jc w:val="both"/>
      </w:pPr>
      <w:r>
        <w:t>Mon parcours universitaire m'a doté d'une forte culture de la donnée spatiale et d'une solide capacité d'analyse face aux problématiques complexes. Je conçois ce stage comme un véritable échange de compétences entre la rigueur de la donnée et l'expertise du droit foncier. Mon objectif est de mettre ma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 Costa,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