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Barottin</w:t>
      </w:r>
    </w:p>
    <w:p>
      <w:pPr>
        <w:spacing w:line="240" w:lineRule="auto" w:before="0" w:after="0"/>
        <w:jc w:val="right"/>
      </w:pPr>
      <w:r>
        <w:t>SELARL AMESURE</w:t>
      </w:r>
    </w:p>
    <w:p>
      <w:pPr>
        <w:spacing w:line="240" w:lineRule="auto" w:before="0" w:after="0"/>
        <w:jc w:val="right"/>
      </w:pPr>
      <w:r>
        <w:t>137 avenue Foch</w:t>
      </w:r>
    </w:p>
    <w:p>
      <w:pPr>
        <w:spacing w:line="240" w:lineRule="auto" w:before="0" w:after="0"/>
        <w:jc w:val="right"/>
      </w:pPr>
      <w:r>
        <w:t>54270 ESSEY LES NANCY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Barottin,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local historique et une approche de l'expertise fondée sur la médiation et la prévention. En privilégiant le dialogue avec le voisinage pour sécuriser les limites de propriété et en agissant comme un véritable guide face à la complexité des réglementations, vous assurez une gestion sereine des projets de bornage, de division ou de copropriété. Cette volonté de simplifier les démarches administratives tout en garantissant une indépendance rigoureuse témoigne d'une déontologie solide et d'une maîtrise approfondie du patrimoine foncier de l'agglomération nancéenne.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Barottin,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