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Hofman</w:t>
      </w:r>
    </w:p>
    <w:p>
      <w:pPr>
        <w:spacing w:line="240" w:lineRule="auto" w:before="0" w:after="0"/>
        <w:jc w:val="right"/>
      </w:pPr>
      <w:r>
        <w:t>SELARL ARPENT-CONSEILS</w:t>
      </w:r>
    </w:p>
    <w:p>
      <w:pPr>
        <w:spacing w:line="240" w:lineRule="auto" w:before="0" w:after="0"/>
        <w:jc w:val="right"/>
      </w:pPr>
      <w:r>
        <w:t>2 rue de Thionvillel</w:t>
      </w:r>
    </w:p>
    <w:p>
      <w:pPr>
        <w:spacing w:line="240" w:lineRule="auto" w:before="0" w:after="0"/>
        <w:jc w:val="right"/>
      </w:pPr>
      <w:r>
        <w:t>54560 AUDUN LE ROMAN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Hofman,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Votre structure se distingue par son ancrage territorial solide et sa présence multi-sites sur plusieurs localités de la région. Cette implantation géographique étendue témoigne d'une diversité de missions et d'une capacité à intervenir sur des territoires variés, qu'ils soient urbains ou ruraux. Cette polyvalence opérationnelle, alliée à une structure humaine de taille intermédiaire, offre un cadre de travail structuré et une vision globale des enjeux fonciers locaux, garantissant une approche de proximité adaptée aux spécificités de chaque zone d'intervention.</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incluant la maîtrise de logiciels de SIG et de programmation pour le traitement de données, au service de vos opérations d'aménagement. Je souhaite m'appuyer sur ma méthode de chercheur pour assimiler rapidement le cadre réglementaire de la profession, en transformant ma capacité de synthèse en un véritable outil de sécurisation foncière.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 tout en m'imprégnant des spécificités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Hofman,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