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Audrey Drouard</w:t>
      </w:r>
    </w:p>
    <w:p>
      <w:pPr>
        <w:spacing w:line="240" w:lineRule="auto" w:before="0" w:after="0"/>
        <w:jc w:val="right"/>
      </w:pPr>
      <w:r>
        <w:t>SELARL Audrey DEVILLIER</w:t>
      </w:r>
    </w:p>
    <w:p>
      <w:pPr>
        <w:spacing w:line="240" w:lineRule="auto" w:before="0" w:after="0"/>
        <w:jc w:val="right"/>
      </w:pPr>
      <w:r>
        <w:t>118 Rue Emile Zola</w:t>
      </w:r>
    </w:p>
    <w:p>
      <w:pPr>
        <w:spacing w:line="240" w:lineRule="auto" w:before="0" w:after="0"/>
        <w:jc w:val="right"/>
      </w:pPr>
      <w:r>
        <w:t>54520 LAXOU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parcellaire ou d’aménagement durable.</w:t>
      </w:r>
    </w:p>
    <w:p>
      <w:pPr>
        <w:spacing w:line="276" w:lineRule="auto" w:before="0" w:after="160"/>
        <w:jc w:val="both"/>
      </w:pPr>
      <w:r>
        <w:t>La SELARL Audrey DEVILLIER se distingue par une structure à taille humaine, permettant une approche de proximité et une maîtrise rigoureuse du cœur de métier. Cette configuration favorise une gestion attentive de chaque dossier, où la précision technique et le suivi personnalisé constituent les piliers de la relation avec les clients et des opérations foncières menées sur le territoire. Cette organisation permet d'assurer un accompagnement sur mesure, garantissant une expertise stable et une réactivité adaptée aux enjeux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 avec la volonté de mettre ma sensibilité pour les données spatiales au service de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