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Hervé Joseph Helstroffer</w:t>
      </w:r>
    </w:p>
    <w:p>
      <w:pPr>
        <w:spacing w:line="240" w:lineRule="auto" w:before="0" w:after="0"/>
        <w:jc w:val="right"/>
      </w:pPr>
      <w:r>
        <w:t>Cabinet HELSTROFFER Hervé</w:t>
      </w:r>
    </w:p>
    <w:p>
      <w:pPr>
        <w:spacing w:line="240" w:lineRule="auto" w:before="0" w:after="0"/>
        <w:jc w:val="right"/>
      </w:pPr>
      <w:r>
        <w:t>7 rue du Chanoine Limbourg</w:t>
      </w:r>
    </w:p>
    <w:p>
      <w:pPr>
        <w:spacing w:line="240" w:lineRule="auto" w:before="0" w:after="0"/>
        <w:jc w:val="right"/>
      </w:pPr>
      <w:r>
        <w:t>57220 BOULAY MOSELLE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Helstroffer,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à Boulay Moselle depuis 1993, témoigne d'une solide expérience et d'une maîtrise confirmée du cœur de métier. Sa structure à taille humaine suggère une approche de proximité et une expertise ancrée dans la réalité du terrain, où la qualité de l'accompagnement technique et juridique des clients constitue une priorité constante. Cette dimension de cabinet de proximité, alliant pérennité et technicité, offre un cadre de travail rigoureux où la transmission des savoirs et la précision des interventions sont centrales.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au sein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Helstroffer,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