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Daniel Salari</w:t>
      </w:r>
    </w:p>
    <w:p>
      <w:pPr>
        <w:spacing w:line="240" w:lineRule="auto" w:before="0" w:after="0"/>
        <w:jc w:val="right"/>
      </w:pPr>
      <w:r>
        <w:t>SOGEX</w:t>
      </w:r>
    </w:p>
    <w:p>
      <w:pPr>
        <w:spacing w:line="240" w:lineRule="auto" w:before="0" w:after="0"/>
        <w:jc w:val="right"/>
      </w:pPr>
      <w:r>
        <w:t>7 Grand Rue</w:t>
      </w:r>
    </w:p>
    <w:p>
      <w:pPr>
        <w:spacing w:line="240" w:lineRule="auto" w:before="0" w:after="0"/>
        <w:jc w:val="right"/>
      </w:pPr>
      <w:r>
        <w:t>57160 LESSY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Salari,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établi.</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1989, témoigne d'une présence pérenne et d'une expérience solide sur son territoire. Cette longévité permet d'assurer une maîtrise rigoureuse du cœur de métier et garantit une approche de proximité avec les clients. Pour une structure établie, la fiabilité des prestations et la connaissance approfondie des problématiques foncières locales constituent des piliers essentiels. Cette expertise constitue le gage d'une sécurité juridique indispensable pour les usagers, assurant la continuité et la pérennité des projets d'aménagement confiés à votre cabinet.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Salari,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