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Dailly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solide et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ARCHIMED SELAS se distingue par un équilibre remarquable entre un ancrage historique, fondé en 1946, et une volonté manifeste d'innovation technologique. Votre maîtrise des outils de pointe, tels que le scanner 3D et la maquette numérique, alliée à une approche d'accompagnement personnalisée, témoigne d'une volonté de répondre aux exigences contemporaines tout en préservant la qualité de l'expertise de proximité. Votre présence multi-sites et la diversité de vos missions, du contrôle de déformation aux dossiers d'urbanisme, confirment votre rôle de partenaire de référence.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Dailly,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