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Thierry Charles Michel Carbiener</w:t>
      </w:r>
    </w:p>
    <w:p>
      <w:pPr>
        <w:spacing w:line="240" w:lineRule="auto" w:before="0" w:after="0"/>
        <w:jc w:val="right"/>
      </w:pPr>
      <w:r>
        <w:t>Cabinet CARBIENER Thierry</w:t>
      </w:r>
    </w:p>
    <w:p>
      <w:pPr>
        <w:spacing w:line="240" w:lineRule="auto" w:before="0" w:after="0"/>
        <w:jc w:val="right"/>
      </w:pPr>
      <w:r>
        <w:t>42 Route de l'Hôpital</w:t>
      </w:r>
    </w:p>
    <w:p>
      <w:pPr>
        <w:spacing w:line="240" w:lineRule="auto" w:before="0" w:after="0"/>
        <w:jc w:val="right"/>
      </w:pPr>
      <w:r>
        <w:t>67200 STRASBOURG</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Carbiener,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implantation solide sur deux sites, à Strasbourg et Saverne, ainsi qu'une présence établie depuis 1986. Cette structure permet une intervention sur une grande diversité de territoires, tant en milieu urbain qu'en zone rurale, témoignant d'une expertise établie dans la gestion de problématiques foncières variées et d'une maîtrise des enjeux propres à chaque typologie de terrain.</w:t>
      </w:r>
    </w:p>
    <w:p>
      <w:pPr>
        <w:spacing w:line="276" w:lineRule="auto" w:before="0" w:after="160"/>
        <w:jc w:val="both"/>
      </w:pPr>
      <w:r>
        <w:t>Mon parcours universitaire de recherche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Carbiener,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