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Frey</w:t>
      </w:r>
    </w:p>
    <w:p>
      <w:pPr>
        <w:spacing w:line="240" w:lineRule="auto" w:before="0" w:after="0"/>
        <w:jc w:val="right"/>
      </w:pPr>
      <w:r>
        <w:t>ELLIGEO</w:t>
      </w:r>
    </w:p>
    <w:p>
      <w:pPr>
        <w:spacing w:line="240" w:lineRule="auto" w:before="0" w:after="0"/>
        <w:jc w:val="right"/>
      </w:pPr>
      <w:r>
        <w:t>1 rue de Pully Bâtiment Le Galion</w:t>
      </w:r>
    </w:p>
    <w:p>
      <w:pPr>
        <w:spacing w:line="240" w:lineRule="auto" w:before="0" w:after="0"/>
        <w:jc w:val="right"/>
      </w:pPr>
      <w:r>
        <w:t>67210 OBERNAI</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Frey,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les archives, les réalités matérielles et les règles d’urbanisme pour sécuriser des projets, qu’il s’agisse de bornage, de division ou d’aménagement durable.</w:t>
      </w:r>
    </w:p>
    <w:p>
      <w:pPr>
        <w:spacing w:line="276" w:lineRule="auto" w:before="0" w:after="160"/>
        <w:jc w:val="both"/>
      </w:pPr>
      <w:r>
        <w:t>Le cabinet ELLIGEO se distingue par son ancrage territorial solide et sa présence structurée sur plusieurs sites à Obernai, Benfeld et Molsheim. Cette implantation témoigne d'une capacité à intervenir sur une diversité de contextes géographiques et de typologies de terrains, allant des zones d'urbanisation dense aux espaces ruraux. Cette polyvalence, alliée à une structure établie depuis 1994, offre un environnement propice à la compréhension fine des enjeux fonciers variés et des problématiques d'aménagement.</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et la réalité des relevés.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w:t>
      </w:r>
    </w:p>
    <w:p>
      <w:pPr>
        <w:spacing w:line="276" w:lineRule="auto" w:before="0" w:after="160"/>
        <w:jc w:val="both"/>
      </w:pPr>
      <w:r>
        <w:t>Je vous prie d’agréer, Monsieur Frey,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