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GRAFF-KIEHL</w:t>
      </w:r>
    </w:p>
    <w:p>
      <w:pPr>
        <w:spacing w:line="240" w:lineRule="auto" w:before="0" w:after="0"/>
        <w:jc w:val="right"/>
      </w:pPr>
      <w:r>
        <w:t>4 Boulevard de la Dordogne BP 60001</w:t>
      </w:r>
    </w:p>
    <w:p>
      <w:pPr>
        <w:spacing w:line="240" w:lineRule="auto" w:before="0" w:after="0"/>
        <w:jc w:val="right"/>
      </w:pPr>
      <w:r>
        <w:t>67001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GRAFF-KIEHL se distingue par une présence ancrée et en pleine expansion sur le territoire du Grand Est, notamment à Strasbourg et Haguenau. Sa capacité à accompagner des projets d’envergure, allant de l’urbanisme et de la gestion foncière aux travaux d’ingénierie VRD, témoigne d'une expertise pluridisciplinaire solide. L'acquisition récente du cabinet Dominique Jung Géomètre-Expert souligne une volonté stratégique de consolidation et de maîtrise d'un large périmètre d'activités. Cette approche, alliant rigueur technique, diversité des interventions et engagement constant envers les projets immobiliers, reflète une structure à la fois ambitieuse et attentive à la fiabilité des prestations fournies.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