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Carbiener</w:t>
      </w:r>
    </w:p>
    <w:p>
      <w:pPr>
        <w:spacing w:line="240" w:lineRule="auto" w:before="0" w:after="0"/>
        <w:jc w:val="right"/>
      </w:pPr>
      <w:r>
        <w:t>SELARL Julien CARBIENER</w:t>
      </w:r>
    </w:p>
    <w:p>
      <w:pPr>
        <w:spacing w:line="240" w:lineRule="auto" w:before="0" w:after="0"/>
        <w:jc w:val="right"/>
      </w:pPr>
      <w:r>
        <w:t>13 avenue de Strasbourg</w:t>
      </w:r>
    </w:p>
    <w:p>
      <w:pPr>
        <w:spacing w:line="240" w:lineRule="auto" w:before="0" w:after="0"/>
        <w:jc w:val="right"/>
      </w:pPr>
      <w:r>
        <w:t>67170 BRUMATH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Carbiener,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ancrage territorial affirmé et sa présence sur deux implantations distinctes à Brumath et Wissembourg. Cette configuration permet de répondre à une diversité de problématiques foncières sur des secteurs variés, tout en conservant une structure à taille humaine favorisant la proximité avec le client. Cette capacité à couvrir plusieurs périmètres géographiques tout en maîtrisant les spécificités locales constitue un cadre de travail solide pour assurer une expertise de terrain rigoureuse et une gestion de projets diversifiée.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complexe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Carbiener,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