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Kling</w:t>
      </w:r>
    </w:p>
    <w:p>
      <w:pPr>
        <w:spacing w:line="240" w:lineRule="auto" w:before="0" w:after="0"/>
        <w:jc w:val="right"/>
      </w:pPr>
      <w:r>
        <w:t>Cabinet GEOMEX Sarl</w:t>
      </w:r>
    </w:p>
    <w:p>
      <w:pPr>
        <w:spacing w:line="240" w:lineRule="auto" w:before="0" w:after="0"/>
        <w:jc w:val="right"/>
      </w:pPr>
      <w:r>
        <w:t>16 rue du Ventron</w:t>
      </w:r>
    </w:p>
    <w:p>
      <w:pPr>
        <w:spacing w:line="240" w:lineRule="auto" w:before="0" w:after="0"/>
        <w:jc w:val="right"/>
      </w:pPr>
      <w:r>
        <w:t>68100 MULHOUSE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Kling,</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à taille humaine et une présence ancrée sur l’ensemble du Haut-Rhin, à travers vos bureaux de Mulhouse, Blotzheim et Ribeauvillé. Cette implantation multi-sites permet une grande diversité d'interventions, allant du bornage — cœur de votre métier — à des missions complexes de division parcellaire, de copropriété ou de levé de façade. Votre philosophie, centrée sur la qualité d'exécution, la précision technique et le conseil de proximité, témoigne d'un engagement constant pour sécuriser les projets fonciers et accompagner durablement vos clients, tout en respectant rigoureusement les procédures administratives et les directives de l'Ordre.</w:t>
      </w:r>
    </w:p>
    <w:p>
      <w:pPr>
        <w:spacing w:line="276" w:lineRule="auto" w:before="0" w:after="160"/>
        <w:jc w:val="both"/>
      </w:pPr>
      <w:r>
        <w:t>Mon parcours m'a doté d'une forte culture de la donnée spatiale, notamment via la maîtrise des SIG, du scanner 3D et du LiDAR,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Kling,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