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Eric HERNANDEZ</w:t>
      </w:r>
    </w:p>
    <w:p>
      <w:pPr>
        <w:spacing w:line="240" w:lineRule="auto" w:before="0" w:after="0"/>
        <w:jc w:val="right"/>
      </w:pPr>
      <w:r>
        <w:t>17 rue Schoenberg</w:t>
      </w:r>
    </w:p>
    <w:p>
      <w:pPr>
        <w:spacing w:line="240" w:lineRule="auto" w:before="0" w:after="0"/>
        <w:jc w:val="right"/>
      </w:pPr>
      <w:r>
        <w:t>68100 MULHOUSE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parcellaire ou d’aménagement durable.</w:t>
      </w:r>
    </w:p>
    <w:p>
      <w:pPr>
        <w:spacing w:line="276" w:lineRule="auto" w:before="0" w:after="160"/>
        <w:jc w:val="both"/>
      </w:pPr>
      <w:r>
        <w:t>Votre cabinet s'inscrit dans une pratique ancrée au sein du territoire de Mulhouse, où la maîtrise du cœur de métier et la proximité avec les acteurs locaux constituent des piliers essentiels. Cette approche garantit une expertise solide dans la sécurisation foncière et le suivi rigoureux des projets d'aménagement, tout en assurant un accompagnement de qualité auprès des clients de la région.</w:t>
      </w:r>
    </w:p>
    <w:p>
      <w:pPr>
        <w:spacing w:line="276" w:lineRule="auto" w:before="0" w:after="160"/>
        <w:jc w:val="both"/>
      </w:pPr>
      <w:r>
        <w:t>Mon parcours universitaire de recherche m'a doté d'une solide capacité d'analyse, de synthèse et d'une habitude du travail sur archives, des compétences utiles pour assimiler rapidement le droit foncier et la réglementation d'urbanisme. Par ailleurs, je dispose d'une forte culture de la donnée spatiale (SIG, relevés, scanner 3D / LiDAR) et d'une capacité de traitement de données via la programmation Python. Mon objectif est de mettre cette force de production technique au service de vos opérations d'aménagement, tout en m'appuyant sur ma méthode de chercheur pour appréhender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