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Bertrand Chardot</w:t>
      </w:r>
    </w:p>
    <w:p>
      <w:pPr>
        <w:spacing w:line="240" w:lineRule="auto" w:before="0" w:after="0"/>
        <w:jc w:val="right"/>
      </w:pPr>
      <w:r>
        <w:t>Cabinet CHARDOT Olivier SELAS de Géomètres experts</w:t>
      </w:r>
    </w:p>
    <w:p>
      <w:pPr>
        <w:spacing w:line="240" w:lineRule="auto" w:before="0" w:after="0"/>
        <w:jc w:val="right"/>
      </w:pPr>
      <w:r>
        <w:t>35 rue de la Préfecture</w:t>
      </w:r>
    </w:p>
    <w:p>
      <w:pPr>
        <w:spacing w:line="240" w:lineRule="auto" w:before="0" w:after="0"/>
        <w:jc w:val="right"/>
      </w:pPr>
      <w:r>
        <w:t>88000 EPINAL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Chardot,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Épinal et à Charmes, se distingue par une structure jeune et en pleine expansion depuis sa création en 2022. Cette présence sur plusieurs sites témoigne d'une volonté de couvrir une diversité de territoires et de problématiques foncières variées, alliant une approche moderne de la profession à une connaissance fine des enjeux locaux. Cette dynamique de développement constitue un environnement propice pour appréhender la pluralité des missions du géomètre-expert.</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une synergie qui me semble essentielle à la qualité de la mission de géomètre.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 afin de contribuer efficacement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Chardot,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