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Christine Merle</w:t>
      </w:r>
    </w:p>
    <w:p>
      <w:pPr>
        <w:spacing w:line="240" w:lineRule="auto" w:before="0" w:after="0"/>
        <w:jc w:val="right"/>
      </w:pPr>
      <w:r>
        <w:t>SELARL MERLE</w:t>
      </w:r>
    </w:p>
    <w:p>
      <w:pPr>
        <w:spacing w:line="240" w:lineRule="auto" w:before="0" w:after="0"/>
        <w:jc w:val="right"/>
      </w:pPr>
      <w:r>
        <w:t>157 rue de Lorima</w:t>
      </w:r>
    </w:p>
    <w:p>
      <w:pPr>
        <w:spacing w:line="240" w:lineRule="auto" w:before="0" w:after="0"/>
        <w:jc w:val="right"/>
      </w:pPr>
      <w:r>
        <w:t>88800 VITTEL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Merle,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depuis 2002 sur trois sites distincts à Vittel, La Voge les Bains et Neufchâteau, témoigne d'une présence ancrée dans le territoire local. Cette organisation multisites suggère une diversité de problématiques foncières, allant du milieu rural aux zones d'aménagement plus denses. La structure à taille humaine de votre cabinet permet une attention soutenue au cœur du métier et un suivi rigoureux des dossiers clients.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Merle,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