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VINCENT</w:t>
      </w:r>
    </w:p>
    <w:p>
      <w:pPr>
        <w:spacing w:line="240" w:lineRule="auto" w:before="0" w:after="0"/>
        <w:jc w:val="right"/>
      </w:pPr>
      <w:r>
        <w:t>Géomètre-Expert Associé SARL</w:t>
      </w:r>
    </w:p>
    <w:p>
      <w:pPr>
        <w:spacing w:line="240" w:lineRule="auto" w:before="0" w:after="0"/>
        <w:jc w:val="right"/>
      </w:pPr>
      <w:r>
        <w:t>27 bis avenue de Reims</w:t>
      </w:r>
    </w:p>
    <w:p>
      <w:pPr>
        <w:spacing w:line="240" w:lineRule="auto" w:before="0" w:after="0"/>
        <w:jc w:val="right"/>
      </w:pPr>
      <w:r>
        <w:t>02200 SOISSONS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multi-sites à Soissons, Villers-Cotterets et Chauny. Cette présence géographique témoigne d'une capacité à intervenir sur une diversité de contextes et de typologies de terrains. Cette pluralité d'interventions, qu'elles soient en milieu urbain ou rural, souligne une maîtrise transversale des problématiques foncières propres aux différents territoires couverts par vos activités.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Vincent,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