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Xavier Leduc</w:t>
      </w:r>
    </w:p>
    <w:p>
      <w:pPr>
        <w:spacing w:line="240" w:lineRule="auto" w:before="0" w:after="0"/>
        <w:jc w:val="right"/>
      </w:pPr>
      <w:r>
        <w:t>XAVIER LEDUC GEOMETRE-EXPERT</w:t>
      </w:r>
    </w:p>
    <w:p>
      <w:pPr>
        <w:spacing w:line="240" w:lineRule="auto" w:before="0" w:after="0"/>
        <w:jc w:val="right"/>
      </w:pPr>
      <w:r>
        <w:t>55 rue de Lunéville</w:t>
      </w:r>
    </w:p>
    <w:p>
      <w:pPr>
        <w:spacing w:line="240" w:lineRule="auto" w:before="0" w:after="0"/>
        <w:jc w:val="right"/>
      </w:pPr>
      <w:r>
        <w:t>02100 ST QUENTIN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présence sur deux sites géographiques, à Saint-Quentin et Crécy-sur-Serre. Cette implantation permet d'appréhender une diversité de contextes, qu'ils soient urbains ou ruraux, offrant une vision plurielle des enjeux territoriaux. Cette double implantation témoigne d'une capacité à intervenir sur des problématiques variées, nécessitant une adaptabilité constante face aux spécificités locales et aux réalités foncières propres à chaque zone d'intervention.</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