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Alexandre Bourez</w:t>
      </w:r>
    </w:p>
    <w:p>
      <w:pPr>
        <w:spacing w:line="240" w:lineRule="auto" w:before="0" w:after="0"/>
        <w:jc w:val="right"/>
      </w:pPr>
      <w:r>
        <w:t>SARL GEONOV GEOMETRE EXPERT</w:t>
      </w:r>
    </w:p>
    <w:p>
      <w:pPr>
        <w:spacing w:line="240" w:lineRule="auto" w:before="0" w:after="0"/>
        <w:jc w:val="right"/>
      </w:pPr>
      <w:r>
        <w:t>201 rue Colbert Centre Vauban Immeuble Rochefort</w:t>
      </w:r>
    </w:p>
    <w:p>
      <w:pPr>
        <w:spacing w:line="240" w:lineRule="auto" w:before="0" w:after="0"/>
        <w:jc w:val="right"/>
      </w:pPr>
      <w:r>
        <w:t>59000 LILLE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Bourez,</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à taille humaine.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fondé en 2017, témoigne d'une structure à taille humaine alliant dynamisme et maîtrise du cœur de métier. En tant qu'acteur de proximité au sein du secteur lillois, GEONOV assure une qualité de service qui repose sur une connaissance précise des enjeux fonciers locaux. Cette approche, centrée sur l'accompagnement technique et juridique rigoureux des clients, constitue un environnement de travail structurant pour un futur collaborateur en apprentissage.</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Bourez,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