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Fabien Bourgogne</w:t>
      </w:r>
    </w:p>
    <w:p>
      <w:pPr>
        <w:spacing w:line="240" w:lineRule="auto" w:before="0" w:after="0"/>
        <w:jc w:val="right"/>
      </w:pPr>
      <w:r>
        <w:t>SCP BOURGOGNE BEAUCAMP Géomètres-Experts</w:t>
      </w:r>
    </w:p>
    <w:p>
      <w:pPr>
        <w:spacing w:line="240" w:lineRule="auto" w:before="0" w:after="0"/>
        <w:jc w:val="right"/>
      </w:pPr>
      <w:r>
        <w:t>2 rue Ludwig van Beethoven</w:t>
      </w:r>
    </w:p>
    <w:p>
      <w:pPr>
        <w:spacing w:line="240" w:lineRule="auto" w:before="0" w:after="0"/>
        <w:jc w:val="right"/>
      </w:pPr>
      <w:r>
        <w:t>59500 DOUAI</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Bourgogne,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fondé en 1976, témoigne d'une solide expérience et d'une présence pérenne au service des territoires. Sa structure, regroupant une dizaine à une vingtaine de salariés, suggère un équilibre entre une organisation structurée et une proximité humaine essentielle à la qualité de l'accompagnement client. Cette stabilité et cette expertise ancrée dans le temps constituent un environnement de travail particulièrement pertinent pour appréhender la diversité des missions d'un géomètre-expert, tout en bénéficiant d'un cadre professionnel reconnu pour son savoir-faire et sa fiabilité.</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issue de la recherche, et l'expertise du droit foncier propre à votre cabinet.</w:t>
      </w:r>
    </w:p>
    <w:p>
      <w:pPr>
        <w:spacing w:line="276" w:lineRule="auto" w:before="0" w:after="160"/>
        <w:jc w:val="both"/>
      </w:pPr>
      <w:r>
        <w:t>Lors de ma récente immersion en cabinet, j’ai principalement découvert la réalité opérationnelle du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solide. Conscient que la maîtrise opérationnelle s’acquiert par la pratique quotidienne, je suis motivé pour apporter rapidement mon concours technique sur le terrain et en bureau d'études afin de soutenir efficacement vos projets.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Bourgogne,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