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Jean-Noël Carbon</w:t>
      </w:r>
    </w:p>
    <w:p>
      <w:pPr>
        <w:spacing w:line="240" w:lineRule="auto" w:before="0" w:after="0"/>
        <w:jc w:val="right"/>
      </w:pPr>
      <w:r>
        <w:t>SELARL CARBON CORNILLE GEOMETRES-EXPERTS</w:t>
      </w:r>
    </w:p>
    <w:p>
      <w:pPr>
        <w:spacing w:line="240" w:lineRule="auto" w:before="0" w:after="0"/>
        <w:jc w:val="right"/>
      </w:pPr>
      <w:r>
        <w:t>12 rue du Château</w:t>
      </w:r>
    </w:p>
    <w:p>
      <w:pPr>
        <w:spacing w:line="240" w:lineRule="auto" w:before="0" w:after="0"/>
        <w:jc w:val="right"/>
      </w:pPr>
      <w:r>
        <w:t>59200 TOURCOING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Carbon,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ancrage territorial solide et la diversité de ses implantations. La présence de vos agences à Tourcoing, Halluin et Marcq en Baroeul témoigne d'une capacité à intervenir sur des périmètres variés, offrant une vision transversale des problématiques foncières. Cette dimension multisectorielle, alliée à une structure à taille humaine, offre un environnement propice à une approche rigoureuse et polyvalente des dossiers techniques.</w:t>
      </w:r>
    </w:p>
    <w:p>
      <w:pPr>
        <w:spacing w:line="276" w:lineRule="auto" w:before="0" w:after="160"/>
        <w:jc w:val="both"/>
      </w:pPr>
      <w:r>
        <w:t>Mon parcours d'universitaire de recherche m'a doté d'une forte culture de la donnée spatiale et d'une solide capacité d'analyse face aux problématiques complexes. Ma formation de docteur en archéologie m'a habitué à la manipulation rigoureuse d'archives et à la synthèse de données techniques, des compétences que je souhaite mobiliser pour assimiler rapidement le cadre réglementaire de la profession. Mon objectif est de mettre cette force de production au service de vos opérations d'aménagement, en m'appuyant sur une méthode structurée pour garantir la fiabilité des résultats.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Carbon,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