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David Gaston Damas Fache</w:t>
      </w:r>
    </w:p>
    <w:p>
      <w:pPr>
        <w:spacing w:line="240" w:lineRule="auto" w:before="0" w:after="0"/>
        <w:jc w:val="right"/>
      </w:pPr>
      <w:r>
        <w:t>ABSCISSE GEOMETRE EXPERT SAS</w:t>
      </w:r>
    </w:p>
    <w:p>
      <w:pPr>
        <w:spacing w:line="240" w:lineRule="auto" w:before="0" w:after="0"/>
        <w:jc w:val="right"/>
      </w:pPr>
      <w:r>
        <w:t>11 et 13 place de l'Hôtel Dieu</w:t>
      </w:r>
    </w:p>
    <w:p>
      <w:pPr>
        <w:spacing w:line="240" w:lineRule="auto" w:before="0" w:after="0"/>
        <w:jc w:val="right"/>
      </w:pPr>
      <w:r>
        <w:t>60000 BEAUVAIS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Damas Fache,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ABSCISSE GEOMETRE EXPERT SAS présente une implantation stratégique avec trois sites répartis sur plusieurs territoires. Cette présence à Beauvais, Gournay en Bray et Marseille en Beauvaisis témoigne d'une activité diversifiée, couvrant des enjeux variés tant en milieu urbain que rural. Cette polyvalence témoigne d'une expertise ancrée dans la réalité du terrain et d'une capacité à répondre aux spécificités locales de chaque zone d'activité.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Damas Fache,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