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Lelandais</w:t>
      </w:r>
    </w:p>
    <w:p>
      <w:pPr>
        <w:spacing w:line="240" w:lineRule="auto" w:before="0" w:after="0"/>
        <w:jc w:val="right"/>
      </w:pPr>
      <w:r>
        <w:t>Cabinet AET</w:t>
      </w:r>
    </w:p>
    <w:p>
      <w:pPr>
        <w:spacing w:line="240" w:lineRule="auto" w:before="0" w:after="0"/>
        <w:jc w:val="right"/>
      </w:pPr>
      <w:r>
        <w:t>12-14 rue Saint Germain</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Lelandais,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cabinet de Monsieur Pascal Vailles à Muret (31), je dépose aujourd'hui ma candidature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AET se distingue par une implantation stratégique couvrant plusieurs secteurs clés, notamment sur les territoires de Compiègne et de La Neuville Roy. Cette présence multi-sites témoigne d'une capacité à intervenir sur une grande diversité de contextes, qu'ils soient marqués par une dynamique urbaine ou par des enjeux ruraux. La structure semble ainsi porter une expertise solide, ancrée dans la maîtrise du cœur de métier et une proximité de service essentielle pour accompagner les acteurs locaux. Cette capacité à couvrir des périmètres variés témoigne d'un sérieux constant.</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Lelandais,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