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Koman</w:t>
      </w:r>
    </w:p>
    <w:p>
      <w:pPr>
        <w:spacing w:line="240" w:lineRule="auto" w:before="0" w:after="0"/>
        <w:jc w:val="right"/>
      </w:pPr>
      <w:r>
        <w:t>Cabinet KOMAN Florent</w:t>
      </w:r>
    </w:p>
    <w:p>
      <w:pPr>
        <w:spacing w:line="240" w:lineRule="auto" w:before="0" w:after="0"/>
        <w:jc w:val="right"/>
      </w:pPr>
      <w:r>
        <w:t>16 rue Pierre Crin</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Koman,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Compiègne depuis 2003, se distingue par une structure à taille humaine qui privilégie la proximité et la maîtrise du cœur de métier. Cette dimension artisanale, alliée à une présence pérenne sur le territoire, garantit une approche rigoureuse et personnalisée des problématiques foncières. La gestion directe par Monsieur Koman permet d'assurer un suivi précis des dossiers, essentiel pour offrir des solutions fiables et adaptées aux réalités locales des propriétaires, tout en maintenant une qualité de conseil propre aux cabinets de proximité.</w:t>
      </w:r>
    </w:p>
    <w:p>
      <w:pPr>
        <w:spacing w:line="276" w:lineRule="auto" w:before="0" w:after="160"/>
        <w:jc w:val="both"/>
      </w:pPr>
      <w:r>
        <w:t>Mon parcours académique m'a doté d'une forte culture de la donnée spatiale, notamment en matière de topographie et de modélisation, ainsi que d'une solide capacité d'analyse face aux problématiques complexes. Mon objectif est de mettre cette force de production technique, incluant la maîtrise des outils de traitement de données,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Koman,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