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 A3D GEOMETRES</w:t>
      </w:r>
    </w:p>
    <w:p>
      <w:pPr>
        <w:spacing w:line="240" w:lineRule="auto" w:before="0" w:after="0"/>
        <w:jc w:val="right"/>
      </w:pPr>
      <w:r>
        <w:t>2 rue Aristide Briand BP 50443, 60114 MERU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sur le territoire.</w:t>
      </w:r>
    </w:p>
    <w:p>
      <w:pPr>
        <w:spacing w:line="276" w:lineRule="auto" w:before="0" w:after="160"/>
        <w:jc w:val="both"/>
      </w:pPr>
      <w:r>
        <w:t>La SAS A3D GEOMETRES se distingue par son implantation multi-sites à Meru, Beaumont-sur-Oise et Neuilly-en-Thèle. Cette présence sur plusieurs secteurs géographiques témoigne d'une capacité à intervenir sur une grande diversité de territoires. Cette polyvalence territoriale implique une maîtrise variée des enjeux fonciers et une adaptation constante aux spécificités locales de chaque zone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une opportunité de mettre mes capacités d'analyse au profit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m'intégrant pleinement à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