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Jean-Paul Bogaert</w:t>
      </w:r>
    </w:p>
    <w:p>
      <w:pPr>
        <w:spacing w:line="240" w:lineRule="auto" w:before="0" w:after="0"/>
        <w:jc w:val="right"/>
      </w:pPr>
      <w:r>
        <w:t>BOGAERT &amp; GOZÉ</w:t>
      </w:r>
    </w:p>
    <w:p>
      <w:pPr>
        <w:spacing w:line="240" w:lineRule="auto" w:before="0" w:after="0"/>
        <w:jc w:val="right"/>
      </w:pPr>
      <w:r>
        <w:t>Technoparc Futura rue de l'Université BP 583</w:t>
      </w:r>
    </w:p>
    <w:p>
      <w:pPr>
        <w:spacing w:line="240" w:lineRule="auto" w:before="0" w:after="0"/>
        <w:jc w:val="right"/>
      </w:pPr>
      <w:r>
        <w:t>62400 BETHUNE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Engagé dans une reconversion professionnelle vers le métier de géomètre-expert, je prépare le DPLG d'octobre 2026. Mon parcours étant confirmé par l'Ordre, je recherche un poste de collaborateur pour mon stage professionnel de deux ans. Après un stage d'observation très instructif au sein du cabinet de Monsieur Pascal Vailles à Muret (31), je dépose aujourd'hui ma candidature pour m'investir pleinement au sein de votre structure.</w:t>
      </w:r>
    </w:p>
    <w:p>
      <w:pPr>
        <w:spacing w:line="276" w:lineRule="auto" w:before="0" w:after="160"/>
        <w:jc w:val="both"/>
      </w:pPr>
      <w:r>
        <w:t>Le métier de géomètre-expert correspond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de bornage, de division ou d’aménagement durable.</w:t>
      </w:r>
    </w:p>
    <w:p>
      <w:pPr>
        <w:spacing w:line="276" w:lineRule="auto" w:before="0" w:after="160"/>
        <w:jc w:val="both"/>
      </w:pPr>
      <w:r>
        <w:t>Votre cabinet se distingue par un ancrage historique solide, assurant la pérennité d'un savoir-faire transmis depuis 1948 dans les Hauts-de-France. Cette expérience s'allie à une volonté constante d'innovation par l'intégration de technologies de pointe telles que le scanner 3D, le LIDAR ou la modélisation BIM. Votre approche, centrée sur la sécurisation des décisions et la fourniture de données justes, fiables et conformes, témoigne d'une exigence de précision. Par ailleurs, votre présence sur quatre agences souligne une capacité à accompagner une diversité de projets, allant de l'aménagement urbain et foncier aux problématiques industrielles et logistiques.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et d'une solide capacité d'analyse face aux problématiques complexes. Mon objectif est de mettre cette force technique au service de vos opérations d'aménagement, tout en m'appuyant sur ma méthode rigoureuse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Bogaert,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