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Thierry Henri Roland Bleard</w:t>
      </w:r>
    </w:p>
    <w:p>
      <w:pPr>
        <w:spacing w:line="240" w:lineRule="auto" w:before="0" w:after="0"/>
        <w:jc w:val="right"/>
      </w:pPr>
      <w:r>
        <w:t>LECOCQ &amp; ASSOCIES SELARL de géomètres-experts</w:t>
      </w:r>
    </w:p>
    <w:p>
      <w:pPr>
        <w:spacing w:line="240" w:lineRule="auto" w:before="0" w:after="0"/>
        <w:jc w:val="right"/>
      </w:pPr>
      <w:r>
        <w:t>1 boulevard Auguste Mariette Résidence Félix Adam</w:t>
      </w:r>
    </w:p>
    <w:p>
      <w:pPr>
        <w:spacing w:line="240" w:lineRule="auto" w:before="0" w:after="0"/>
        <w:jc w:val="right"/>
      </w:pPr>
      <w:r>
        <w:t>62200 BOULOGNE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Bleard,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fondé en 1900, incarne une expertise ancrée dans la durée et une maîtrise approfondie du cœur de métier. Cette longévité témoigne d'un savoir-faire solide en matière de gestion foncière et d'une connaissance fine des réalités locales. La structure à taille humaine qui vous caractérise garantit une approche de proximité, privilégiant la transmission des savoirs et la rigueur opérationnelle comme piliers fondamentaux de votre pratique.</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Bleard,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