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Marie Claire Roselyne Fourmeaux (Lefebvre)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Selas Latitudes se distingue par une volonté marquée de proximité, illustrée par son maillage territorial étendu sur huit sites différents. Cette organisation permet de répondre avec précision aux besoins locaux tout en gérant des projets d'envergure dans des contextes variés, qu'ils soient urbains, ruraux ou liés aux infrastructures. Votre approche, alliant présence décentralisée et gestion rigoureuse des flux de clientèle, témoigne d'un professionnalisme garantissant un accompagnement de qualité aux acteurs du territoire. Cette capacité à concilier structure solide et ancrage local constitue un environnement stimulant.</w:t>
      </w:r>
    </w:p>
    <w:p>
      <w:pPr>
        <w:spacing w:line="276" w:lineRule="auto" w:before="0" w:after="160"/>
        <w:jc w:val="both"/>
      </w:pPr>
      <w:r>
        <w:t>Mon parcours universitaire de recherche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