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GARNI ET ASSOCIES</w:t>
      </w:r>
    </w:p>
    <w:p>
      <w:pPr>
        <w:spacing w:line="240" w:lineRule="auto" w:before="0" w:after="0"/>
        <w:jc w:val="right"/>
      </w:pPr>
      <w:r>
        <w:t>22 rue Pierre Semard</w:t>
      </w:r>
    </w:p>
    <w:p>
      <w:pPr>
        <w:spacing w:line="240" w:lineRule="auto" w:before="0" w:after="0"/>
        <w:jc w:val="right"/>
      </w:pPr>
      <w:r>
        <w:t>75009 PARIS 09</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au cœur de Paris, se distingue par son ancrage dans un environnement urbain dense où la maîtrise du cœur de métier est primordiale. La gestion des problématiques foncières au sein de tels quartiers exige une précision technique constante et une connaissance fine des enjeux de proximité. Votre approche de la sécurisation foncière témoigne d'une recherche de rigueur face aux complexités de la propriété urbaine.</w:t>
      </w:r>
    </w:p>
    <w:p>
      <w:pPr>
        <w:spacing w:line="276" w:lineRule="auto" w:before="0" w:after="160"/>
        <w:jc w:val="both"/>
      </w:pPr>
      <w:r>
        <w:t>En m'adressant au CABINET GARNI ET ASSOCIES,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