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Christelle Brion</w:t>
      </w:r>
    </w:p>
    <w:p>
      <w:pPr>
        <w:spacing w:line="240" w:lineRule="auto" w:before="0" w:after="0"/>
        <w:jc w:val="right"/>
      </w:pPr>
      <w:r>
        <w:t>EURL Etude BRION</w:t>
      </w:r>
    </w:p>
    <w:p>
      <w:pPr>
        <w:spacing w:line="240" w:lineRule="auto" w:before="0" w:after="0"/>
        <w:jc w:val="right"/>
      </w:pPr>
      <w:r>
        <w:t>11 bis rue de Moscou</w:t>
      </w:r>
    </w:p>
    <w:p>
      <w:pPr>
        <w:spacing w:line="240" w:lineRule="auto" w:before="0" w:after="0"/>
        <w:jc w:val="right"/>
      </w:pPr>
      <w:r>
        <w:t>75008 PARIS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Brion,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Etude BRION, forte de son expérience depuis 2003, incarne une structure à taille humaine où la maîtrise du cœur de métier et la proximité avec la clientèle sont essentielles. Votre implantation à Paris témoigne d'une expertise ancrée dans un environnement urbain complexe, exigeant une grande précision et une connaissance fine des enjeux fonciers locaux. Je suis particulièrement sensible à cette approche qui privilégie la qualité du conseil et la rigueur de l'expertise au sein d'une étude solide, capable de répondre aux spécificités d'un tissu urbain dense.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Brion,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