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Romain Buraud</w:t>
      </w:r>
    </w:p>
    <w:p>
      <w:pPr>
        <w:spacing w:line="240" w:lineRule="auto" w:before="0" w:after="0"/>
        <w:jc w:val="right"/>
      </w:pPr>
      <w:r>
        <w:t>SARL CAPGEO &amp; ASSOCIES</w:t>
      </w:r>
    </w:p>
    <w:p>
      <w:pPr>
        <w:spacing w:line="240" w:lineRule="auto" w:before="0" w:after="0"/>
        <w:jc w:val="right"/>
      </w:pPr>
      <w:r>
        <w:t>26 boulevard Voltaire</w:t>
      </w:r>
    </w:p>
    <w:p>
      <w:pPr>
        <w:spacing w:line="240" w:lineRule="auto" w:before="0" w:after="0"/>
        <w:jc w:val="right"/>
      </w:pPr>
      <w:r>
        <w:t>75011 PARIS 11</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Buraud,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forte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CAPGEO se distingue par sa capacité à conjuguer avec excellence la préservation du patrimoine historique et l'innovation technologique. Votre approche, qui va de la réalisation de relevés d'architecture pour des monuments classés à la modélisation BIM en 3D, témoigne d'une maîtrise complète du cycle de vie immobilier. Cette double compétence, alliant la noblesse des missions de conservation à la précision des outils numériques pour la division en volumes ou la gestion de la copropriété, reflète une exigence de qualité et de pérennité qui correspond à ma conception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vos études foncières,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Buraud,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