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Dupouy-Flamencourt</w:t>
      </w:r>
    </w:p>
    <w:p>
      <w:pPr>
        <w:spacing w:line="240" w:lineRule="auto" w:before="0" w:after="0"/>
        <w:jc w:val="right"/>
      </w:pPr>
      <w:r>
        <w:t>118 130 avenue Jean Jaurès Le Belvédère</w:t>
      </w:r>
    </w:p>
    <w:p>
      <w:pPr>
        <w:spacing w:line="240" w:lineRule="auto" w:before="0" w:after="0"/>
        <w:jc w:val="right"/>
      </w:pPr>
      <w:r>
        <w:t>75019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Dupouy-Flamencourt se distingue par une approche globale et transversale de l’immobilier, structurée autour de pôles d'expertise variés tels que la copropriété, la maîtrise d'œuvre ou la transaction. Votre capacité à intégrer des technologies de pointe, telles que la numérisation 3D par laser scanner et la création de jumeaux numériques, témoigne d'un avant-gardisme technique au service de la sécurisation des projets. Cette volonté d'offrir des solutions innovantes, alliant précision des mesures et robustesse juridique, souligne une vision exigeante et complète du métier.</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missions,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J'ai pu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