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Laurent Ferrandi</w:t>
      </w:r>
    </w:p>
    <w:p>
      <w:pPr>
        <w:spacing w:line="240" w:lineRule="auto" w:before="0" w:after="0"/>
        <w:jc w:val="right"/>
      </w:pPr>
      <w:r>
        <w:t>SAS URBEX</w:t>
      </w:r>
    </w:p>
    <w:p>
      <w:pPr>
        <w:spacing w:line="240" w:lineRule="auto" w:before="0" w:after="0"/>
        <w:jc w:val="right"/>
      </w:pPr>
      <w:r>
        <w:t>20 passage de la bonne graine</w:t>
      </w:r>
    </w:p>
    <w:p>
      <w:pPr>
        <w:spacing w:line="240" w:lineRule="auto" w:before="0" w:after="0"/>
        <w:jc w:val="right"/>
      </w:pPr>
      <w:r>
        <w:t>75011 PARIS 11</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Ferrandi,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SAS URBEX se distingue par son implantation au cœur de Paris, au sein du 11e arrondissement, témoignant d'une volonté d'apporter une approche moderne aux problématiques de la métropole. Sa création en 2025 souligne un positionnement dynamique, tourné vers les enjeux actuels de la ville et une capacité à structurer des solutions innovantes dans un environnement urbain dense. Cette structure récente permet d'envisager une organisation agile, capable de répondre avec précision aux contraintes spécifiques de l'aménagement urbain contemporain.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 et mon aisance avec les outils de traitement de données.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m'adaptant aux méthodes spécifiques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Ferrandi,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