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Denis Brachet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 pour son excellence.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copropriété ou d’aménagement durable.</w:t>
      </w:r>
    </w:p>
    <w:p>
      <w:pPr>
        <w:spacing w:line="276" w:lineRule="auto" w:before="0" w:after="160"/>
        <w:jc w:val="both"/>
      </w:pPr>
      <w:r>
        <w:t>Le cabinet Denis Brachet se distingue par une expertise pointue dans le contexte urbain dense et historique de Paris, alliant une solide expérience depuis 1967 à une maîtrise rigoureuse des technologies de pointe. L'activité repose sur une approche de haute précision, notamment en matière de métrologie laser, de modélisation BIM et d'auscultation d'ouvrages d'art, garantissant la sécurité des structures. Cette capacité à traiter des problématiques complexes de scission de copropriété, de division en volumes et d'expertise judiciaire témoigne d'un engagement constant envers la qualité de service et une parfaite compréhension des enjeux patrimoniaux et réglementaires de la capitale.</w:t>
      </w:r>
    </w:p>
    <w:p>
      <w:pPr>
        <w:spacing w:line="276" w:lineRule="auto" w:before="0" w:after="160"/>
        <w:jc w:val="both"/>
      </w:pPr>
      <w:r>
        <w:t>Mon parcours m'a doté d'une forte culture de la donnée spatiale (SIG, modélisation 3D, scanner LiDAR, programmation Python)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