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Huck</w:t>
      </w:r>
    </w:p>
    <w:p>
      <w:pPr>
        <w:spacing w:line="240" w:lineRule="auto" w:before="0" w:after="0"/>
        <w:jc w:val="right"/>
      </w:pPr>
      <w:r>
        <w:t>SELARL Cabinet ROULLEAU-HUCK-PLOMION</w:t>
      </w:r>
    </w:p>
    <w:p>
      <w:pPr>
        <w:spacing w:line="240" w:lineRule="auto" w:before="0" w:after="0"/>
        <w:jc w:val="right"/>
      </w:pPr>
      <w:r>
        <w:t>17 bis rue Joseph de Maistre</w:t>
      </w:r>
    </w:p>
    <w:p>
      <w:pPr>
        <w:spacing w:line="240" w:lineRule="auto" w:before="0" w:after="0"/>
        <w:jc w:val="right"/>
      </w:pPr>
      <w:r>
        <w:t>75018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Huck,</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vous adresse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 marché depuis 2004, témoigne d’une solide implantation et d’une maîtrise reconnue du cœur de métier de la géométrie. La dimension de votre structure, qui allie une équipe expérimentée à une organisation à taille humaine, suggère un environnement de travail propice à la transmission des savoirs et à la qualité du conseil. Cette culture de la proximité et la pérennité des projets que vous accompagnez constituent des éléments fondamentaux de votre identité professionnelle.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Mon objectif est de mettre cette force technique au service de vos opérations,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Huck,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