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GE3D</w:t>
      </w:r>
    </w:p>
    <w:p>
      <w:pPr>
        <w:spacing w:line="240" w:lineRule="auto" w:before="0" w:after="0"/>
        <w:jc w:val="right"/>
      </w:pPr>
      <w:r>
        <w:t>19 rue Buot</w:t>
      </w:r>
    </w:p>
    <w:p>
      <w:pPr>
        <w:spacing w:line="240" w:lineRule="auto" w:before="0" w:after="0"/>
        <w:jc w:val="right"/>
      </w:pPr>
      <w:r>
        <w:t>75013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d'accompagnement global, allant du conseil en urbanisme et copropriété jusqu'à l'expertise technique pour les acteurs du BTP. Votre savoir-faire, reconnu depuis dix ans, s'appuie sur une maîtrise pointue des surfaces réglementaires et du récolement de réseaux en Classe A de précision. J'ai particulièrement noté votre engagement pour la modernisation du métier à travers l'intégration de technologies avancées, telles que les relevés par drone et la modélisation 3D, afin de répondre aux enjeux complexes des projets de construction et de réhabilitation en milieu urbain.</w:t>
      </w:r>
    </w:p>
    <w:p>
      <w:pPr>
        <w:spacing w:line="276" w:lineRule="auto" w:before="0" w:after="160"/>
        <w:jc w:val="both"/>
      </w:pPr>
      <w:r>
        <w:t>Mon parcours universitaire de recherche m'a doté d'une solide capacité d'analyse et de synthèse face aux problématiques complexes, des qualités essentielles pour assimiler rapidement le cadre réglementaire de la profession. Par ailleurs, je dispose d'une forte culture de la donnée spatiale (SIG, scanner 3D, programmation Python). Mon objectif est de mettre cette force de production technique au service de vos opérations, tout en m'appuyant sur ma méthode de chercheur pour traiter avec précision les dossiers fonciers et d'aménagement.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