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Daniel Legrand se distingue par un héritage centenaire et une expertise reconnue dans la gestion de projets d'envergure, tant en milieu urbain qu'en aménagement complexe. Votre capacité à accompagner des projets emblématiques, tels que la réhabilitation de la Samaritaine ou des opérations de division en volumes à Paris et Monaco, témoigne d'une maîtrise remarquable de la cohérence documentaire et des enjeux juridiques. L'intégration d'outils à la pointe de la technologie, notamment en 3D BIM, et la volonté d'anticiper les besoins des clients par une approche pluridisciplinaire placent votre structure à l'avant-garde de la profession.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scanner 3D)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