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direction du Cabinet MILLARD</w:t>
      </w:r>
    </w:p>
    <w:p>
      <w:pPr>
        <w:spacing w:line="240" w:lineRule="auto" w:before="0" w:after="0"/>
        <w:jc w:val="right"/>
      </w:pPr>
      <w:r>
        <w:t>6 rue Gustave Nast BP 12</w:t>
      </w:r>
    </w:p>
    <w:p>
      <w:pPr>
        <w:spacing w:line="240" w:lineRule="auto" w:before="0" w:after="0"/>
        <w:jc w:val="right"/>
      </w:pPr>
      <w:r>
        <w:t>77501 CHELLES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MILLARD se distingue par son ancrage local et sa structure de SARL, garantissant une approche de proximité et une maîtrise rigoureuse du cœur de métier. En tant que cabinet indépendant, votre capacité à accompagner des projets variés sur le territoire de Chelles témoigne d'une expertise solide et d'une connaissance fine des enjeux fonciers locaux. La qualité du conseil, la précision des interventions techniques et la pérennité des relations avec les clients constituent les piliers de votre activité. Cette dimension de service de proximité, alliée à la technicité des opérations de bornage ou de division, définit une structure solide et exigeante.</w:t>
      </w:r>
    </w:p>
    <w:p>
      <w:pPr>
        <w:spacing w:line="276" w:lineRule="auto" w:before="0" w:after="160"/>
        <w:jc w:val="both"/>
      </w:pPr>
      <w:r>
        <w:t>Mon parcours universitaire de recherche m'a doté d'une solide culture de la donnée spatiale et d'une capacité d'analyse éprouvée face aux problématiques complexes. Ma formation, axée sur l'étude des archives et de l'urbanisme, constitue un atout pour assimiler rapidement le cadre réglementaire de la profession. Mon objectif est de mettre cette rigueur méthodologique au service de vos opérations, tout en m'appuyant sur ma sensibilité aux outils numériques (SIG, scanner 3D, traitement de données via Python) pour appuyer le raisonnement technique.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les méthodes de production m’a permis d’assimiler rapidement les étapes de l’acquisition sur le terrain jusqu’à la restitution graphique. Ces semaines m’ont surtout permis de mesurer que les outils techniques ne prennent leur pleine valeur que lorsqu’ils viennent appuyer un raisonnement juridique.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