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DELASSUS</w:t>
      </w:r>
    </w:p>
    <w:p>
      <w:pPr>
        <w:spacing w:line="240" w:lineRule="auto" w:before="0" w:after="0"/>
        <w:jc w:val="right"/>
      </w:pPr>
      <w:r>
        <w:t>M. Philippe Jean Marceau Delassus</w:t>
      </w:r>
    </w:p>
    <w:p>
      <w:pPr>
        <w:spacing w:line="240" w:lineRule="auto" w:before="0" w:after="0"/>
        <w:jc w:val="right"/>
      </w:pPr>
      <w:r>
        <w:t>252 avenue Alain Peyrefitte</w:t>
      </w:r>
    </w:p>
    <w:p>
      <w:pPr>
        <w:spacing w:line="240" w:lineRule="auto" w:before="0" w:after="0"/>
        <w:jc w:val="right"/>
      </w:pPr>
      <w:r>
        <w:t>77480 BRAY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Delassus,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structurée sur deux sites, à Bray-sur-Seine et à Provins, permettant de couvrir une diversité de contextes territoriaux. Cette organisation, portée par une équipe de taille humaine et une expérience confirmée depuis 2009, témoigne d'une maîtrise solide des enjeux locaux et d'une capacité à intervenir sur des problématiques variées, tant en milieu urbain que rural.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Delassus,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