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DML</w:t>
      </w:r>
    </w:p>
    <w:p>
      <w:pPr>
        <w:spacing w:line="240" w:lineRule="auto" w:before="0" w:after="0"/>
        <w:jc w:val="right"/>
      </w:pPr>
      <w:r>
        <w:t>30 rue Aristide Briand</w:t>
      </w:r>
    </w:p>
    <w:p>
      <w:pPr>
        <w:spacing w:line="240" w:lineRule="auto" w:before="0" w:after="0"/>
        <w:jc w:val="right"/>
      </w:pPr>
      <w:r>
        <w:t>77334 MEAUX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DML se distingue par une organisation structurée et une présence territoriale forte, avec des bureaux répartis sur cinq sites couvrant une zone géographique étendue. Cette structure permet d'assurer une grande diversité d'interventions, allant du suivi d'ouvrages complexes et de diagnostics immobiliers à des expertises de niche telles que le classement fédéral de pistes d'athlétisme. Votre engagement envers la rigueur et la qualité des prestations, tout en accompagnant une clientèle variée composée de particuliers, d'entreprises et de collectivités, témoigne d'une approche professionnelle solide capable de répondre à des enjeux locaux, nationaux et même internationaux.</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issue de mon expérience en traitement de données, au service de vos opérations d'aménagement et de topographie,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