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Lionel Cyril Pascal Cepas</w:t>
      </w:r>
    </w:p>
    <w:p>
      <w:pPr>
        <w:spacing w:line="240" w:lineRule="auto" w:before="0" w:after="0"/>
        <w:jc w:val="right"/>
      </w:pPr>
      <w:r>
        <w:t>SELARL SOGEFRA</w:t>
      </w:r>
    </w:p>
    <w:p>
      <w:pPr>
        <w:spacing w:line="240" w:lineRule="auto" w:before="0" w:after="0"/>
        <w:jc w:val="right"/>
      </w:pPr>
      <w:r>
        <w:t>1 avenue Christian Doppler Parc Faraday</w:t>
      </w:r>
    </w:p>
    <w:p>
      <w:pPr>
        <w:spacing w:line="240" w:lineRule="auto" w:before="0" w:after="0"/>
        <w:jc w:val="right"/>
      </w:pPr>
      <w:r>
        <w:t>77700 SERRIS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Cepas,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complexes, qu’il s’agisse de bornage, de division ou d’aménagement durable.</w:t>
      </w:r>
    </w:p>
    <w:p>
      <w:pPr>
        <w:spacing w:line="276" w:lineRule="auto" w:before="0" w:after="160"/>
        <w:jc w:val="both"/>
      </w:pPr>
      <w:r>
        <w:t>Votre cabinet se distingue par une expertise technique de pointe, à travers l'utilisation du scanner 3D pour des acquisitions de grande envergure et la réalisation de relevés bathymétriques complexes. Votre implication dans le patrimoine et l'archéologie témoigne d'une capacité à intervenir sur des projets à forte valeur ajoutée. Votre polyvalence — allant de la gestion de copropriété aux études de maîtrise d'œuvre VRD — alliée à un ancrage territorial fort en Seine-et-Marne et une démarche qualité certifiée ISO 9001, reflète une structure solide capable d'allier technicité de haut niveau et proximité avec les acteurs locaux.</w:t>
      </w:r>
    </w:p>
    <w:p>
      <w:pPr>
        <w:spacing w:line="276" w:lineRule="auto" w:before="0" w:after="160"/>
        <w:jc w:val="both"/>
      </w:pPr>
      <w:r>
        <w:t>En m'adressant à votre structure, je souhaite mettre à profit une solide culture de la donnée spatiale et une capacité d'analyse issue d'un parcours de recherche universitaire en archéologie et urbanisme. Mon profil me permet de traiter avec rigueur des problématiques complexes, de consulter des archives et de synthétiser des informations variées. Mon objectif est de mobiliser ces compétences pour soutenir vos opérations d'aménagement, tout en m'appuyant sur ma méthode de travail pour assimiler rapidement le cadre réglementaire spécifique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les outils numériques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Cepas,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