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Denis Debachy</w:t>
      </w:r>
    </w:p>
    <w:p>
      <w:pPr>
        <w:spacing w:line="240" w:lineRule="auto" w:before="0" w:after="0"/>
        <w:jc w:val="right"/>
      </w:pPr>
      <w:r>
        <w:t>SARL Cabinet HERVIOU-DEBACHY</w:t>
      </w:r>
    </w:p>
    <w:p>
      <w:pPr>
        <w:spacing w:line="240" w:lineRule="auto" w:before="0" w:after="0"/>
        <w:jc w:val="right"/>
      </w:pPr>
      <w:r>
        <w:t>26 rue Berthier</w:t>
      </w:r>
    </w:p>
    <w:p>
      <w:pPr>
        <w:spacing w:line="240" w:lineRule="auto" w:before="0" w:after="0"/>
        <w:jc w:val="right"/>
      </w:pPr>
      <w:r>
        <w:t>78000 VERSAILLES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Versailles depuis 1998, illustre une pratique ancrée dans la maîtrise des fondamentaux de la géomètrie-expertise. La taille de votre structure témoigne d'une organisation privilégiant la qualité du suivi technique et la proximité avec les usagers. Cette approche, centrée sur la pérennité des relations et la rigueur opérationnelle au sein d'une équipe à taille humaine, constitue un cadre de travail structuré et exigeant.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