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Aude Steiger</w:t>
      </w:r>
    </w:p>
    <w:p>
      <w:pPr>
        <w:spacing w:line="240" w:lineRule="auto" w:before="0" w:after="0"/>
        <w:jc w:val="right"/>
      </w:pPr>
      <w:r>
        <w:t>SELAS Cabinet TROCELLI</w:t>
      </w:r>
    </w:p>
    <w:p>
      <w:pPr>
        <w:spacing w:line="240" w:lineRule="auto" w:before="0" w:after="0"/>
        <w:jc w:val="right"/>
      </w:pPr>
      <w:r>
        <w:t>6 rue Saint Vincent</w:t>
      </w:r>
    </w:p>
    <w:p>
      <w:pPr>
        <w:spacing w:line="240" w:lineRule="auto" w:before="0" w:after="0"/>
        <w:jc w:val="right"/>
      </w:pPr>
      <w:r>
        <w:t>78100 ST GERMAIN EN LAYE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Steiger,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TROCELLI se distingue par son implantation stratégique sur plusieurs sites, notamment à Saint-Germain-en-Laye et à Maule. Cette présence multisite témoigne d'une capacité notable à intervenir sur une grande diversité de contextes territoriaux, allant des enjeux urbains aux spécificités rurales. Fort d'une expertise solide établie depuis 1992, votre cabinet incarne une maîtrise affirmée du cœur de métier, alliant une connaissance approfondie du patrimoine foncier à une approche structurée et pérenne des projets d'aménagement.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Steiger,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