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Rodolphe Bertrand Juompan Yakam Keutcha</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d'une structure à forte dimension technique.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SGDS International s'impose comme un acteur majeur grâce à une maîtrise avancée des technologies de pointe et une diversité de missions remarquable. Votre expertise en géodétection, en management de projets BIM et en numérisation 3D par scanner laser, alliée à une capacité à intervenir sur des projets d'envergure nationale et internationale, témoigne d'une quête constante de précision et d'excellence. Fort de plus de vingt ans d'expérience, votre cabinet assure une approche complète allant du diagnostic réglementaire à la maîtrise d'œuvre VRD, garantissant ainsi le respect des règles de l'art pour une clientèle exigeante, allant des collectivités territoriales aux grands groupes industriels.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dispose d'une sensibilité pour les outils tels que les SIG, le LiDAR ou encore la programmation Python pour le traitement de données, que je conçois comme un appui au raisonnement et non comme une fin en soi. Je vois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