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Mercier</w:t>
      </w:r>
    </w:p>
    <w:p>
      <w:pPr>
        <w:spacing w:line="240" w:lineRule="auto" w:before="0" w:after="0"/>
        <w:jc w:val="right"/>
      </w:pPr>
      <w:r>
        <w:t>SELARL MERCIER EXPERTISES</w:t>
      </w:r>
    </w:p>
    <w:p>
      <w:pPr>
        <w:spacing w:line="240" w:lineRule="auto" w:before="0" w:after="0"/>
        <w:jc w:val="right"/>
      </w:pPr>
      <w:r>
        <w:t>3 Allée du Clos Tonnerre BP74</w:t>
      </w:r>
    </w:p>
    <w:p>
      <w:pPr>
        <w:spacing w:line="240" w:lineRule="auto" w:before="0" w:after="0"/>
        <w:jc w:val="right"/>
      </w:pPr>
      <w:r>
        <w:t>91120 PALAISEAU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Mercier,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MERCIER EXPERTISES se distingue par une structure récente qui conjugue un dynamisme de développement et une maîtrise affirmée du cœur du métier. Votre cabinet offre un environnement professionnel structuré où la qualité de l'expertise technique semble être au centre des priorités. Cette approche, portée par une équipe de taille significative, permet de garantir une approche rigoureuse des problématiques foncières tout en maintenant une proximité essentielle avec les acteurs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Mercier,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