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responsables de la SELARL PROGEXIAL</w:t>
      </w:r>
    </w:p>
    <w:p>
      <w:pPr>
        <w:spacing w:line="240" w:lineRule="auto" w:before="0" w:after="0"/>
        <w:jc w:val="right"/>
      </w:pPr>
      <w:r>
        <w:t>12 rue Narcisse Gallien BP 40335</w:t>
      </w:r>
    </w:p>
    <w:p>
      <w:pPr>
        <w:spacing w:line="240" w:lineRule="auto" w:before="0" w:after="0"/>
        <w:jc w:val="right"/>
      </w:pPr>
      <w:r>
        <w:t>91163 LONGJUMEAU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double exigence, mêlant précision géométrique et analyse juridique, constitue le cœur de mon projet professionnel.</w:t>
      </w:r>
    </w:p>
    <w:p>
      <w:pPr>
        <w:spacing w:line="276" w:lineRule="auto" w:before="0" w:after="160"/>
        <w:jc w:val="both"/>
      </w:pPr>
      <w:r>
        <w:t>La SELARL PROGEXIAL se distingue par son implantation sur plusieurs sites, notamment à Longjumeau et Asnières-sur-Seine. Cette présence géographique permet d'intervenir sur une diversité de contextes, allant des zones urbaines denses aux secteurs périurbains. Cette polyvalence territoriale témoigne d'une capacité à traiter des problématiques variées, exigeant une adaptation constante aux spécificités locales de chaque zone d'intervention. Votre structure offre ainsi un cadre d'exercice permettant une maîtrise des enjeux fonciers sur des typologies de terrains variées.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souhaitant apporter ma capacité de synthèse pour traiter efficacement vos dossiers techniques.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afin de contribuer activement à la qualité des prestations fournies par votre cabinet.</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